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6E6870" w14:textId="77777777" w:rsidR="000F0D19" w:rsidRPr="000F0D19" w:rsidRDefault="000F0D19" w:rsidP="000F0D19">
      <w:pPr>
        <w:spacing w:after="0" w:line="240" w:lineRule="auto"/>
        <w:jc w:val="both"/>
        <w:rPr>
          <w:b/>
          <w:bCs/>
          <w:sz w:val="32"/>
          <w:szCs w:val="32"/>
        </w:rPr>
      </w:pPr>
      <w:r w:rsidRPr="000F0D19">
        <w:rPr>
          <w:b/>
          <w:bCs/>
          <w:sz w:val="32"/>
          <w:szCs w:val="32"/>
        </w:rPr>
        <w:t>Elder Law &amp; Long-Term Care Planning for CPAs</w:t>
      </w:r>
    </w:p>
    <w:p w14:paraId="7DA95B2A" w14:textId="77777777" w:rsidR="000F0D19" w:rsidRDefault="000F0D19" w:rsidP="000F0D19">
      <w:pPr>
        <w:spacing w:after="0" w:line="240" w:lineRule="auto"/>
        <w:jc w:val="both"/>
      </w:pPr>
      <w:r>
        <w:t>Presented by Angela N. Manz, Esq. | Law Office of Angela N. Manz | www.manzlawfirm.com | angela@manzlawfirm.com</w:t>
      </w:r>
    </w:p>
    <w:p w14:paraId="23A60411" w14:textId="77777777" w:rsidR="000F0D19" w:rsidRDefault="000F0D19" w:rsidP="000F0D19">
      <w:pPr>
        <w:spacing w:after="0" w:line="240" w:lineRule="auto"/>
        <w:jc w:val="both"/>
      </w:pPr>
    </w:p>
    <w:p w14:paraId="651B493A" w14:textId="45B3F40A" w:rsidR="000F0D19" w:rsidRPr="000F0D19" w:rsidRDefault="000F0D19" w:rsidP="000F0D19">
      <w:pPr>
        <w:spacing w:after="0" w:line="240" w:lineRule="auto"/>
        <w:jc w:val="both"/>
        <w:rPr>
          <w:b/>
          <w:bCs/>
          <w:sz w:val="24"/>
          <w:szCs w:val="24"/>
        </w:rPr>
      </w:pPr>
      <w:r w:rsidRPr="000F0D19">
        <w:rPr>
          <w:b/>
          <w:bCs/>
          <w:sz w:val="24"/>
          <w:szCs w:val="24"/>
        </w:rPr>
        <w:t>Purpose of This Handout</w:t>
      </w:r>
    </w:p>
    <w:p w14:paraId="62D5105B" w14:textId="77777777" w:rsidR="000F0D19" w:rsidRDefault="000F0D19" w:rsidP="000F0D19">
      <w:pPr>
        <w:spacing w:after="0" w:line="240" w:lineRule="auto"/>
        <w:jc w:val="both"/>
      </w:pPr>
      <w:r>
        <w:t>This handout accompanies the presentation 'What Every CPA Should Know About Long-Term Care &amp; Elder Law Planning.' It provides a summary of key concepts, tax implications, and client red flags to help CPAs identify when to refer clients for elder law or long-term care planning assistance.</w:t>
      </w:r>
    </w:p>
    <w:p w14:paraId="41C64C42" w14:textId="77777777" w:rsidR="000F0D19" w:rsidRDefault="000F0D19" w:rsidP="000F0D19">
      <w:pPr>
        <w:spacing w:after="0" w:line="240" w:lineRule="auto"/>
        <w:jc w:val="both"/>
      </w:pPr>
    </w:p>
    <w:p w14:paraId="22E16E8B" w14:textId="124B60ED" w:rsidR="000F0D19" w:rsidRPr="000F0D19" w:rsidRDefault="000F0D19" w:rsidP="000F0D19">
      <w:pPr>
        <w:pStyle w:val="ListParagraph"/>
        <w:numPr>
          <w:ilvl w:val="0"/>
          <w:numId w:val="11"/>
        </w:numPr>
        <w:spacing w:after="0" w:line="240" w:lineRule="auto"/>
        <w:jc w:val="both"/>
        <w:rPr>
          <w:b/>
          <w:bCs/>
          <w:sz w:val="24"/>
          <w:szCs w:val="24"/>
        </w:rPr>
      </w:pPr>
      <w:r w:rsidRPr="000F0D19">
        <w:rPr>
          <w:b/>
          <w:bCs/>
          <w:sz w:val="24"/>
          <w:szCs w:val="24"/>
        </w:rPr>
        <w:t>Why This Planning Matters</w:t>
      </w:r>
    </w:p>
    <w:p w14:paraId="3D5A8B29" w14:textId="77777777" w:rsidR="000F0D19" w:rsidRDefault="000F0D19" w:rsidP="000F0D19">
      <w:pPr>
        <w:spacing w:after="0" w:line="240" w:lineRule="auto"/>
        <w:ind w:left="720"/>
        <w:jc w:val="both"/>
      </w:pPr>
      <w:r>
        <w:t>As trusted advisors, CPAs often see early financial indicators of aging, health decline, or changing family dynamics. Recognizing these signs and referring clients for elder law planning can prevent financial loss, preserve assets, and maintain family stability.</w:t>
      </w:r>
    </w:p>
    <w:p w14:paraId="5FE25E3C" w14:textId="77777777" w:rsidR="000F0D19" w:rsidRDefault="000F0D19" w:rsidP="000F0D19">
      <w:pPr>
        <w:spacing w:after="0" w:line="240" w:lineRule="auto"/>
        <w:jc w:val="both"/>
      </w:pPr>
    </w:p>
    <w:p w14:paraId="5599745E" w14:textId="72047FF5" w:rsidR="000F0D19" w:rsidRPr="000F0D19" w:rsidRDefault="000F0D19" w:rsidP="000F0D19">
      <w:pPr>
        <w:pStyle w:val="ListParagraph"/>
        <w:numPr>
          <w:ilvl w:val="0"/>
          <w:numId w:val="11"/>
        </w:numPr>
        <w:spacing w:after="0" w:line="240" w:lineRule="auto"/>
        <w:jc w:val="both"/>
        <w:rPr>
          <w:b/>
          <w:bCs/>
          <w:sz w:val="24"/>
          <w:szCs w:val="24"/>
        </w:rPr>
      </w:pPr>
      <w:r w:rsidRPr="000F0D19">
        <w:rPr>
          <w:b/>
          <w:bCs/>
          <w:sz w:val="24"/>
          <w:szCs w:val="24"/>
        </w:rPr>
        <w:t>Pre-Planning vs. Crisis Planning</w:t>
      </w:r>
    </w:p>
    <w:p w14:paraId="7B121722" w14:textId="77777777" w:rsidR="000F0D19" w:rsidRDefault="000F0D19" w:rsidP="000F0D19">
      <w:pPr>
        <w:spacing w:after="0" w:line="240" w:lineRule="auto"/>
        <w:ind w:left="720"/>
        <w:jc w:val="both"/>
      </w:pPr>
      <w:r>
        <w:t>Elder law planning generally falls into two categories:</w:t>
      </w:r>
    </w:p>
    <w:p w14:paraId="000E5D28" w14:textId="0EB62D5A" w:rsidR="000F0D19" w:rsidRDefault="000F0D19" w:rsidP="000F0D19">
      <w:pPr>
        <w:pStyle w:val="ListParagraph"/>
        <w:numPr>
          <w:ilvl w:val="0"/>
          <w:numId w:val="2"/>
        </w:numPr>
        <w:spacing w:after="0" w:line="240" w:lineRule="auto"/>
        <w:ind w:left="1080"/>
        <w:jc w:val="both"/>
      </w:pPr>
      <w:r>
        <w:t xml:space="preserve">Pre-Planning: Done 5+ years before care is needed. Involves </w:t>
      </w:r>
      <w:proofErr w:type="gramStart"/>
      <w:r>
        <w:t>trusts</w:t>
      </w:r>
      <w:proofErr w:type="gramEnd"/>
      <w:r>
        <w:t>, powers of attorney, and structured transfers.</w:t>
      </w:r>
    </w:p>
    <w:p w14:paraId="421866ED" w14:textId="0D007593" w:rsidR="000F0D19" w:rsidRDefault="000F0D19" w:rsidP="000F0D19">
      <w:pPr>
        <w:pStyle w:val="ListParagraph"/>
        <w:numPr>
          <w:ilvl w:val="0"/>
          <w:numId w:val="2"/>
        </w:numPr>
        <w:spacing w:after="0" w:line="240" w:lineRule="auto"/>
        <w:ind w:left="1080"/>
        <w:jc w:val="both"/>
      </w:pPr>
      <w:r>
        <w:t>Crisis Planning: Done when care is already needed. Involves urgent asset protection and Medicaid or VA benefit qualification.</w:t>
      </w:r>
    </w:p>
    <w:p w14:paraId="0D523C56" w14:textId="77777777" w:rsidR="000F0D19" w:rsidRDefault="000F0D19" w:rsidP="000F0D19">
      <w:pPr>
        <w:spacing w:after="0" w:line="240" w:lineRule="auto"/>
        <w:jc w:val="both"/>
      </w:pPr>
    </w:p>
    <w:p w14:paraId="3D31700F" w14:textId="57EC2DE9" w:rsidR="000F0D19" w:rsidRPr="000F0D19" w:rsidRDefault="000F0D19" w:rsidP="000F0D19">
      <w:pPr>
        <w:pStyle w:val="ListParagraph"/>
        <w:numPr>
          <w:ilvl w:val="0"/>
          <w:numId w:val="11"/>
        </w:numPr>
        <w:spacing w:after="0" w:line="240" w:lineRule="auto"/>
        <w:jc w:val="both"/>
        <w:rPr>
          <w:b/>
          <w:bCs/>
          <w:sz w:val="24"/>
          <w:szCs w:val="24"/>
        </w:rPr>
      </w:pPr>
      <w:r w:rsidRPr="000F0D19">
        <w:rPr>
          <w:b/>
          <w:bCs/>
          <w:sz w:val="24"/>
          <w:szCs w:val="24"/>
        </w:rPr>
        <w:t>Case Studies</w:t>
      </w:r>
    </w:p>
    <w:p w14:paraId="2CA4CE63" w14:textId="77777777" w:rsidR="000F0D19" w:rsidRPr="000F0D19" w:rsidRDefault="000F0D19" w:rsidP="000F0D19">
      <w:pPr>
        <w:spacing w:after="0" w:line="240" w:lineRule="auto"/>
        <w:ind w:left="720"/>
        <w:jc w:val="both"/>
        <w:rPr>
          <w:b/>
          <w:bCs/>
          <w:i/>
          <w:iCs/>
        </w:rPr>
      </w:pPr>
      <w:r w:rsidRPr="000F0D19">
        <w:rPr>
          <w:b/>
          <w:bCs/>
          <w:i/>
          <w:iCs/>
        </w:rPr>
        <w:t>**The Jones Family (Pre-Planning)**</w:t>
      </w:r>
    </w:p>
    <w:p w14:paraId="498E64C3" w14:textId="77777777" w:rsidR="000F0D19" w:rsidRDefault="000F0D19" w:rsidP="000F0D19">
      <w:pPr>
        <w:spacing w:after="0" w:line="240" w:lineRule="auto"/>
        <w:ind w:left="720"/>
        <w:jc w:val="both"/>
      </w:pPr>
      <w:r>
        <w:t xml:space="preserve">Married </w:t>
      </w:r>
      <w:proofErr w:type="gramStart"/>
      <w:r>
        <w:t>couple</w:t>
      </w:r>
      <w:proofErr w:type="gramEnd"/>
      <w:r>
        <w:t xml:space="preserve"> in their 60s created an irrevocable trust five years before illness. When the husband developed Parkinson’s, their assets were already protected and </w:t>
      </w:r>
      <w:proofErr w:type="gramStart"/>
      <w:r>
        <w:t>tax-efficient</w:t>
      </w:r>
      <w:proofErr w:type="gramEnd"/>
      <w:r>
        <w:t>.</w:t>
      </w:r>
    </w:p>
    <w:p w14:paraId="76BC5A8A" w14:textId="77777777" w:rsidR="000F0D19" w:rsidRPr="000F0D19" w:rsidRDefault="000F0D19" w:rsidP="000F0D19">
      <w:pPr>
        <w:spacing w:after="0" w:line="240" w:lineRule="auto"/>
        <w:ind w:left="720"/>
        <w:jc w:val="both"/>
        <w:rPr>
          <w:i/>
          <w:iCs/>
        </w:rPr>
      </w:pPr>
    </w:p>
    <w:p w14:paraId="32EA47D6" w14:textId="77777777" w:rsidR="000F0D19" w:rsidRPr="000F0D19" w:rsidRDefault="000F0D19" w:rsidP="000F0D19">
      <w:pPr>
        <w:spacing w:after="0" w:line="240" w:lineRule="auto"/>
        <w:ind w:left="720"/>
        <w:jc w:val="both"/>
        <w:rPr>
          <w:b/>
          <w:bCs/>
          <w:i/>
          <w:iCs/>
        </w:rPr>
      </w:pPr>
      <w:r w:rsidRPr="000F0D19">
        <w:rPr>
          <w:b/>
          <w:bCs/>
          <w:i/>
          <w:iCs/>
        </w:rPr>
        <w:t>**The Smith Family (Crisis Planning)**</w:t>
      </w:r>
    </w:p>
    <w:p w14:paraId="60D29F34" w14:textId="77777777" w:rsidR="000F0D19" w:rsidRPr="000F0D19" w:rsidRDefault="000F0D19" w:rsidP="000F0D19">
      <w:pPr>
        <w:spacing w:after="0" w:line="240" w:lineRule="auto"/>
        <w:ind w:left="720"/>
        <w:jc w:val="both"/>
      </w:pPr>
      <w:r w:rsidRPr="000F0D19">
        <w:t xml:space="preserve">Husband needed nursing care unexpectedly. The CPA noticed large withdrawals and referred to an elder law attorney. Through crisis planning, assets were partially </w:t>
      </w:r>
      <w:proofErr w:type="gramStart"/>
      <w:r w:rsidRPr="000F0D19">
        <w:t>preserved</w:t>
      </w:r>
      <w:proofErr w:type="gramEnd"/>
      <w:r w:rsidRPr="000F0D19">
        <w:t xml:space="preserve"> and the spouse’s financial security was maintained.</w:t>
      </w:r>
    </w:p>
    <w:p w14:paraId="316C694F" w14:textId="77777777" w:rsidR="000F0D19" w:rsidRDefault="000F0D19" w:rsidP="000F0D19">
      <w:pPr>
        <w:spacing w:after="0" w:line="240" w:lineRule="auto"/>
        <w:jc w:val="both"/>
      </w:pPr>
    </w:p>
    <w:p w14:paraId="0B326C27" w14:textId="71D56A93" w:rsidR="000F0D19" w:rsidRPr="000F0D19" w:rsidRDefault="000F0D19" w:rsidP="000F0D19">
      <w:pPr>
        <w:pStyle w:val="ListParagraph"/>
        <w:numPr>
          <w:ilvl w:val="0"/>
          <w:numId w:val="11"/>
        </w:numPr>
        <w:spacing w:after="0" w:line="240" w:lineRule="auto"/>
        <w:jc w:val="both"/>
        <w:rPr>
          <w:b/>
          <w:bCs/>
          <w:sz w:val="24"/>
          <w:szCs w:val="24"/>
        </w:rPr>
      </w:pPr>
      <w:r w:rsidRPr="000F0D19">
        <w:rPr>
          <w:b/>
          <w:bCs/>
          <w:sz w:val="24"/>
          <w:szCs w:val="24"/>
        </w:rPr>
        <w:t>Key Elder Law Tools CPAs Should Know</w:t>
      </w:r>
    </w:p>
    <w:p w14:paraId="357FC67D" w14:textId="77777777" w:rsidR="000F0D19" w:rsidRDefault="000F0D19" w:rsidP="000F0D19">
      <w:pPr>
        <w:spacing w:after="0" w:line="240" w:lineRule="auto"/>
        <w:jc w:val="both"/>
      </w:pPr>
    </w:p>
    <w:p w14:paraId="7CABBEF3" w14:textId="72357452" w:rsidR="00D84B69" w:rsidRDefault="00D84B69" w:rsidP="00541775">
      <w:pPr>
        <w:pStyle w:val="ListParagraph"/>
        <w:numPr>
          <w:ilvl w:val="0"/>
          <w:numId w:val="2"/>
        </w:numPr>
        <w:spacing w:after="0" w:line="240" w:lineRule="auto"/>
        <w:ind w:left="1080"/>
        <w:jc w:val="both"/>
      </w:pPr>
      <w:r>
        <w:t>Customized Estate Plan</w:t>
      </w:r>
    </w:p>
    <w:p w14:paraId="75CCDA4E" w14:textId="6421B864" w:rsidR="00D84B69" w:rsidRDefault="00D84B69" w:rsidP="00541775">
      <w:pPr>
        <w:pStyle w:val="ListParagraph"/>
        <w:numPr>
          <w:ilvl w:val="0"/>
          <w:numId w:val="2"/>
        </w:numPr>
        <w:spacing w:after="0" w:line="240" w:lineRule="auto"/>
        <w:ind w:left="1080"/>
        <w:jc w:val="both"/>
      </w:pPr>
      <w:r>
        <w:t xml:space="preserve">Irrevocable Trusts </w:t>
      </w:r>
    </w:p>
    <w:p w14:paraId="74EAD636" w14:textId="1FC8CF7E" w:rsidR="000F0D19" w:rsidRPr="000F0D19" w:rsidRDefault="000F0D19" w:rsidP="00541775">
      <w:pPr>
        <w:pStyle w:val="ListParagraph"/>
        <w:numPr>
          <w:ilvl w:val="0"/>
          <w:numId w:val="2"/>
        </w:numPr>
        <w:spacing w:after="0" w:line="240" w:lineRule="auto"/>
        <w:ind w:left="1080"/>
        <w:jc w:val="both"/>
      </w:pPr>
      <w:r w:rsidRPr="000F0D19">
        <w:t>Crisis Planning Strategies</w:t>
      </w:r>
    </w:p>
    <w:p w14:paraId="7028DE22" w14:textId="17BD4883" w:rsidR="000F0D19" w:rsidRPr="000F0D19" w:rsidRDefault="000F0D19" w:rsidP="00541775">
      <w:pPr>
        <w:pStyle w:val="ListParagraph"/>
        <w:numPr>
          <w:ilvl w:val="0"/>
          <w:numId w:val="2"/>
        </w:numPr>
        <w:spacing w:after="0" w:line="240" w:lineRule="auto"/>
        <w:ind w:left="1080"/>
        <w:jc w:val="both"/>
      </w:pPr>
      <w:r w:rsidRPr="000F0D19">
        <w:t>Powers of Attorney – Enable planning when capacity declines.</w:t>
      </w:r>
    </w:p>
    <w:p w14:paraId="6ADEBCC1" w14:textId="1A3A0853" w:rsidR="000F0D19" w:rsidRPr="000F0D19" w:rsidRDefault="000F0D19" w:rsidP="00541775">
      <w:pPr>
        <w:pStyle w:val="ListParagraph"/>
        <w:numPr>
          <w:ilvl w:val="0"/>
          <w:numId w:val="2"/>
        </w:numPr>
        <w:spacing w:after="0" w:line="240" w:lineRule="auto"/>
        <w:ind w:left="1080"/>
        <w:jc w:val="both"/>
      </w:pPr>
      <w:r w:rsidRPr="000F0D19">
        <w:t>Caregiver Agreements – Legitimize payments to family caregivers.</w:t>
      </w:r>
    </w:p>
    <w:p w14:paraId="1EB70758" w14:textId="77777777" w:rsidR="00D84B69" w:rsidRDefault="000F0D19" w:rsidP="00D84B69">
      <w:pPr>
        <w:pStyle w:val="ListParagraph"/>
        <w:numPr>
          <w:ilvl w:val="0"/>
          <w:numId w:val="2"/>
        </w:numPr>
        <w:spacing w:after="0" w:line="240" w:lineRule="auto"/>
        <w:ind w:left="1080"/>
        <w:jc w:val="both"/>
      </w:pPr>
      <w:r w:rsidRPr="000F0D19">
        <w:t>Special Needs Planning – Protect benefits for disabled dependents.</w:t>
      </w:r>
    </w:p>
    <w:p w14:paraId="4CC1F2EF" w14:textId="6DAEFB58" w:rsidR="000F0D19" w:rsidRPr="000F0D19" w:rsidRDefault="000F0D19" w:rsidP="00D84B69">
      <w:pPr>
        <w:pStyle w:val="ListParagraph"/>
        <w:numPr>
          <w:ilvl w:val="0"/>
          <w:numId w:val="2"/>
        </w:numPr>
        <w:spacing w:after="0" w:line="240" w:lineRule="auto"/>
        <w:ind w:left="1080"/>
        <w:jc w:val="both"/>
      </w:pPr>
      <w:r w:rsidRPr="000F0D19">
        <w:t>Family Complexity Planning</w:t>
      </w:r>
      <w:r w:rsidR="00D84B69">
        <w:t>.</w:t>
      </w:r>
    </w:p>
    <w:p w14:paraId="13165602" w14:textId="77777777" w:rsidR="000F0D19" w:rsidRDefault="000F0D19" w:rsidP="000F0D19">
      <w:pPr>
        <w:spacing w:after="0" w:line="240" w:lineRule="auto"/>
        <w:jc w:val="both"/>
      </w:pPr>
    </w:p>
    <w:p w14:paraId="4791A958" w14:textId="605C181F" w:rsidR="000F0D19" w:rsidRPr="00541775" w:rsidRDefault="000F0D19" w:rsidP="00541775">
      <w:pPr>
        <w:pStyle w:val="ListParagraph"/>
        <w:numPr>
          <w:ilvl w:val="0"/>
          <w:numId w:val="11"/>
        </w:numPr>
        <w:spacing w:after="0" w:line="240" w:lineRule="auto"/>
        <w:jc w:val="both"/>
        <w:rPr>
          <w:b/>
          <w:bCs/>
          <w:sz w:val="24"/>
          <w:szCs w:val="24"/>
        </w:rPr>
      </w:pPr>
      <w:r w:rsidRPr="00541775">
        <w:rPr>
          <w:b/>
          <w:bCs/>
          <w:sz w:val="24"/>
          <w:szCs w:val="24"/>
        </w:rPr>
        <w:t>Tax &amp; Compliance Considerations</w:t>
      </w:r>
    </w:p>
    <w:p w14:paraId="3A1A6BBD" w14:textId="1A4D973C" w:rsidR="000F0D19" w:rsidRDefault="000F0D19" w:rsidP="00541775">
      <w:pPr>
        <w:pStyle w:val="ListParagraph"/>
        <w:numPr>
          <w:ilvl w:val="0"/>
          <w:numId w:val="2"/>
        </w:numPr>
        <w:spacing w:after="0" w:line="240" w:lineRule="auto"/>
        <w:ind w:left="1080"/>
        <w:jc w:val="both"/>
      </w:pPr>
      <w:r>
        <w:t>Gift Tax – Transfers to trusts are often incomplete gifts under IRC §2511.</w:t>
      </w:r>
    </w:p>
    <w:p w14:paraId="22A3F22D" w14:textId="1E6D60C9" w:rsidR="000F0D19" w:rsidRDefault="000F0D19" w:rsidP="00541775">
      <w:pPr>
        <w:pStyle w:val="ListParagraph"/>
        <w:numPr>
          <w:ilvl w:val="0"/>
          <w:numId w:val="2"/>
        </w:numPr>
        <w:spacing w:after="0" w:line="240" w:lineRule="auto"/>
        <w:ind w:left="1080"/>
        <w:jc w:val="both"/>
      </w:pPr>
      <w:r>
        <w:t>Step-Up in Basis – Retained powers may allow step-up at death.</w:t>
      </w:r>
    </w:p>
    <w:p w14:paraId="068E6AE3" w14:textId="50CAC480" w:rsidR="000F0D19" w:rsidRDefault="000F0D19" w:rsidP="00541775">
      <w:pPr>
        <w:pStyle w:val="ListParagraph"/>
        <w:numPr>
          <w:ilvl w:val="0"/>
          <w:numId w:val="2"/>
        </w:numPr>
        <w:spacing w:after="0" w:line="240" w:lineRule="auto"/>
        <w:ind w:left="1080"/>
        <w:jc w:val="both"/>
      </w:pPr>
      <w:r>
        <w:t>Trust Income – Be aware of new EINs, 1041 filing requirements, and K-1 recipients.</w:t>
      </w:r>
    </w:p>
    <w:p w14:paraId="20A74555" w14:textId="6EF6E988" w:rsidR="000F0D19" w:rsidRDefault="000F0D19" w:rsidP="00541775">
      <w:pPr>
        <w:pStyle w:val="ListParagraph"/>
        <w:numPr>
          <w:ilvl w:val="0"/>
          <w:numId w:val="2"/>
        </w:numPr>
        <w:spacing w:after="0" w:line="240" w:lineRule="auto"/>
        <w:ind w:left="1080"/>
        <w:jc w:val="both"/>
      </w:pPr>
      <w:r>
        <w:t>Medicaid vs. VA Trusts – Medicaid trusts may be grantor trusts (IDGT), while VA trusts must be non-grantor.</w:t>
      </w:r>
    </w:p>
    <w:p w14:paraId="483F4A73" w14:textId="06006E4F" w:rsidR="000F0D19" w:rsidRDefault="000F0D19">
      <w:r>
        <w:br w:type="page"/>
      </w:r>
    </w:p>
    <w:p w14:paraId="59947FB9" w14:textId="77777777" w:rsidR="000F0D19" w:rsidRDefault="000F0D19" w:rsidP="000F0D19">
      <w:pPr>
        <w:spacing w:after="0" w:line="240" w:lineRule="auto"/>
        <w:jc w:val="both"/>
      </w:pPr>
    </w:p>
    <w:p w14:paraId="4C1B9091" w14:textId="71371486" w:rsidR="000F0D19" w:rsidRPr="00541775" w:rsidRDefault="000F0D19" w:rsidP="00541775">
      <w:pPr>
        <w:pStyle w:val="ListParagraph"/>
        <w:numPr>
          <w:ilvl w:val="0"/>
          <w:numId w:val="11"/>
        </w:numPr>
        <w:spacing w:after="0" w:line="240" w:lineRule="auto"/>
        <w:jc w:val="both"/>
        <w:rPr>
          <w:b/>
          <w:bCs/>
          <w:sz w:val="24"/>
          <w:szCs w:val="24"/>
        </w:rPr>
      </w:pPr>
      <w:r w:rsidRPr="00541775">
        <w:rPr>
          <w:b/>
          <w:bCs/>
          <w:sz w:val="24"/>
          <w:szCs w:val="24"/>
        </w:rPr>
        <w:t>CPA Client Risk Checklist</w:t>
      </w:r>
    </w:p>
    <w:p w14:paraId="5885D77A" w14:textId="4E08D918" w:rsidR="000F0D19" w:rsidRDefault="000F0D19" w:rsidP="00541775">
      <w:pPr>
        <w:spacing w:after="0" w:line="240" w:lineRule="auto"/>
        <w:ind w:left="720"/>
        <w:jc w:val="both"/>
      </w:pPr>
      <w:r>
        <w:t>Watch for these situations:</w:t>
      </w:r>
    </w:p>
    <w:p w14:paraId="21A84421" w14:textId="1BAEB8E5" w:rsidR="000F0D19" w:rsidRDefault="000F0D19" w:rsidP="00541775">
      <w:pPr>
        <w:pStyle w:val="ListParagraph"/>
        <w:numPr>
          <w:ilvl w:val="0"/>
          <w:numId w:val="2"/>
        </w:numPr>
        <w:spacing w:after="0" w:line="240" w:lineRule="auto"/>
        <w:ind w:left="1080"/>
        <w:jc w:val="both"/>
      </w:pPr>
      <w:r>
        <w:t>Clients over 60 with no long-term care plan or insurance.</w:t>
      </w:r>
    </w:p>
    <w:p w14:paraId="4F4A738A" w14:textId="25359699" w:rsidR="000F0D19" w:rsidRDefault="000F0D19" w:rsidP="00541775">
      <w:pPr>
        <w:pStyle w:val="ListParagraph"/>
        <w:numPr>
          <w:ilvl w:val="0"/>
          <w:numId w:val="2"/>
        </w:numPr>
        <w:spacing w:after="0" w:line="240" w:lineRule="auto"/>
        <w:ind w:left="1080"/>
        <w:jc w:val="both"/>
      </w:pPr>
      <w:r>
        <w:t xml:space="preserve">Widows or retirees </w:t>
      </w:r>
      <w:proofErr w:type="gramStart"/>
      <w:r>
        <w:t>reliant</w:t>
      </w:r>
      <w:proofErr w:type="gramEnd"/>
      <w:r>
        <w:t xml:space="preserve"> on fixed income.</w:t>
      </w:r>
    </w:p>
    <w:p w14:paraId="763F4EE5" w14:textId="3935D26E" w:rsidR="000F0D19" w:rsidRDefault="000F0D19" w:rsidP="00541775">
      <w:pPr>
        <w:pStyle w:val="ListParagraph"/>
        <w:numPr>
          <w:ilvl w:val="0"/>
          <w:numId w:val="2"/>
        </w:numPr>
        <w:spacing w:after="0" w:line="240" w:lineRule="auto"/>
        <w:ind w:left="1080"/>
        <w:jc w:val="both"/>
      </w:pPr>
      <w:r>
        <w:t>Supporting a disabled spouse or child.</w:t>
      </w:r>
    </w:p>
    <w:p w14:paraId="75C29841" w14:textId="33576200" w:rsidR="000F0D19" w:rsidRDefault="000F0D19" w:rsidP="00541775">
      <w:pPr>
        <w:pStyle w:val="ListParagraph"/>
        <w:numPr>
          <w:ilvl w:val="0"/>
          <w:numId w:val="2"/>
        </w:numPr>
        <w:spacing w:after="0" w:line="240" w:lineRule="auto"/>
        <w:ind w:left="1080"/>
        <w:jc w:val="both"/>
      </w:pPr>
      <w:r>
        <w:t>Significant medical or assisted living costs.</w:t>
      </w:r>
    </w:p>
    <w:p w14:paraId="4557F990" w14:textId="0883142B" w:rsidR="000F0D19" w:rsidRDefault="000F0D19" w:rsidP="00541775">
      <w:pPr>
        <w:pStyle w:val="ListParagraph"/>
        <w:numPr>
          <w:ilvl w:val="0"/>
          <w:numId w:val="2"/>
        </w:numPr>
        <w:spacing w:after="0" w:line="240" w:lineRule="auto"/>
        <w:ind w:left="1080"/>
        <w:jc w:val="both"/>
      </w:pPr>
      <w:r>
        <w:t>Adult children added to accounts or ‘helping with bills.’</w:t>
      </w:r>
    </w:p>
    <w:p w14:paraId="5B0DDE34" w14:textId="1D626E2D" w:rsidR="000F0D19" w:rsidRDefault="000F0D19" w:rsidP="00541775">
      <w:pPr>
        <w:pStyle w:val="ListParagraph"/>
        <w:numPr>
          <w:ilvl w:val="0"/>
          <w:numId w:val="2"/>
        </w:numPr>
        <w:spacing w:after="0" w:line="240" w:lineRule="auto"/>
        <w:ind w:left="1080"/>
        <w:jc w:val="both"/>
      </w:pPr>
      <w:r>
        <w:t>Large or unexplained transfers to family members.</w:t>
      </w:r>
    </w:p>
    <w:p w14:paraId="3E126960" w14:textId="1A682465" w:rsidR="000F0D19" w:rsidRDefault="000F0D19" w:rsidP="00541775">
      <w:pPr>
        <w:pStyle w:val="ListParagraph"/>
        <w:numPr>
          <w:ilvl w:val="0"/>
          <w:numId w:val="2"/>
        </w:numPr>
        <w:spacing w:after="0" w:line="240" w:lineRule="auto"/>
        <w:ind w:left="1080"/>
        <w:jc w:val="both"/>
      </w:pPr>
      <w:r>
        <w:t>Questions about gifting or paying for care.</w:t>
      </w:r>
    </w:p>
    <w:p w14:paraId="636164B6" w14:textId="1BC48BAE" w:rsidR="000F0D19" w:rsidRDefault="000F0D19" w:rsidP="00541775">
      <w:pPr>
        <w:pStyle w:val="ListParagraph"/>
        <w:numPr>
          <w:ilvl w:val="0"/>
          <w:numId w:val="2"/>
        </w:numPr>
        <w:spacing w:after="0" w:line="240" w:lineRule="auto"/>
        <w:ind w:left="1080"/>
        <w:jc w:val="both"/>
      </w:pPr>
      <w:r>
        <w:t>Lack of updated Power of Attorney.</w:t>
      </w:r>
    </w:p>
    <w:p w14:paraId="0F9FC395" w14:textId="77777777" w:rsidR="000F0D19" w:rsidRDefault="000F0D19" w:rsidP="000F0D19">
      <w:pPr>
        <w:spacing w:after="0" w:line="240" w:lineRule="auto"/>
        <w:jc w:val="both"/>
      </w:pPr>
    </w:p>
    <w:p w14:paraId="2A6175FB" w14:textId="382276B7" w:rsidR="000F0D19" w:rsidRPr="00541775" w:rsidRDefault="000F0D19" w:rsidP="00541775">
      <w:pPr>
        <w:pStyle w:val="ListParagraph"/>
        <w:numPr>
          <w:ilvl w:val="0"/>
          <w:numId w:val="11"/>
        </w:numPr>
        <w:spacing w:after="0" w:line="240" w:lineRule="auto"/>
        <w:jc w:val="both"/>
        <w:rPr>
          <w:b/>
          <w:bCs/>
          <w:sz w:val="24"/>
          <w:szCs w:val="24"/>
        </w:rPr>
      </w:pPr>
      <w:r w:rsidRPr="00541775">
        <w:rPr>
          <w:b/>
          <w:bCs/>
          <w:sz w:val="24"/>
          <w:szCs w:val="24"/>
        </w:rPr>
        <w:t xml:space="preserve">When and How to Refer a </w:t>
      </w:r>
      <w:proofErr w:type="gramStart"/>
      <w:r w:rsidRPr="00541775">
        <w:rPr>
          <w:b/>
          <w:bCs/>
          <w:sz w:val="24"/>
          <w:szCs w:val="24"/>
        </w:rPr>
        <w:t>Client</w:t>
      </w:r>
      <w:proofErr w:type="gramEnd"/>
    </w:p>
    <w:p w14:paraId="77F7EC2E" w14:textId="77777777" w:rsidR="000F0D19" w:rsidRDefault="000F0D19" w:rsidP="00541775">
      <w:pPr>
        <w:spacing w:after="0" w:line="240" w:lineRule="auto"/>
        <w:ind w:left="720"/>
        <w:jc w:val="both"/>
      </w:pPr>
      <w:r>
        <w:t>Refer to an elder law attorney when:</w:t>
      </w:r>
    </w:p>
    <w:p w14:paraId="7D2CA448" w14:textId="3C002146" w:rsidR="000F0D19" w:rsidRDefault="000F0D19" w:rsidP="00541775">
      <w:pPr>
        <w:pStyle w:val="ListParagraph"/>
        <w:numPr>
          <w:ilvl w:val="0"/>
          <w:numId w:val="2"/>
        </w:numPr>
        <w:spacing w:after="0" w:line="240" w:lineRule="auto"/>
        <w:ind w:left="1080"/>
        <w:jc w:val="both"/>
      </w:pPr>
      <w:r>
        <w:t xml:space="preserve">A client expresses concern about </w:t>
      </w:r>
      <w:proofErr w:type="gramStart"/>
      <w:r>
        <w:t>affording</w:t>
      </w:r>
      <w:proofErr w:type="gramEnd"/>
      <w:r>
        <w:t xml:space="preserve"> care </w:t>
      </w:r>
      <w:proofErr w:type="gramStart"/>
      <w:r>
        <w:t>for</w:t>
      </w:r>
      <w:proofErr w:type="gramEnd"/>
      <w:r>
        <w:t xml:space="preserve"> themselves or a spouse.</w:t>
      </w:r>
    </w:p>
    <w:p w14:paraId="34A75CDC" w14:textId="138E9FA7" w:rsidR="000F0D19" w:rsidRDefault="000F0D19" w:rsidP="00541775">
      <w:pPr>
        <w:pStyle w:val="ListParagraph"/>
        <w:numPr>
          <w:ilvl w:val="0"/>
          <w:numId w:val="2"/>
        </w:numPr>
        <w:spacing w:after="0" w:line="240" w:lineRule="auto"/>
        <w:ind w:left="1080"/>
        <w:jc w:val="both"/>
      </w:pPr>
      <w:r>
        <w:t>A client asks about gifting, transfers, or trust creation for protection.</w:t>
      </w:r>
    </w:p>
    <w:p w14:paraId="13A243C2" w14:textId="60BED340" w:rsidR="000F0D19" w:rsidRDefault="000F0D19" w:rsidP="00541775">
      <w:pPr>
        <w:pStyle w:val="ListParagraph"/>
        <w:numPr>
          <w:ilvl w:val="0"/>
          <w:numId w:val="2"/>
        </w:numPr>
        <w:spacing w:after="0" w:line="240" w:lineRule="auto"/>
        <w:ind w:left="1080"/>
        <w:jc w:val="both"/>
      </w:pPr>
      <w:r>
        <w:t>A client’s medical or cognitive issues affect their financial decision-making.</w:t>
      </w:r>
    </w:p>
    <w:p w14:paraId="530E292A" w14:textId="16F6DE56" w:rsidR="000F0D19" w:rsidRDefault="000F0D19" w:rsidP="00541775">
      <w:pPr>
        <w:pStyle w:val="ListParagraph"/>
        <w:numPr>
          <w:ilvl w:val="0"/>
          <w:numId w:val="2"/>
        </w:numPr>
        <w:spacing w:after="0" w:line="240" w:lineRule="auto"/>
        <w:ind w:left="1080"/>
        <w:jc w:val="both"/>
      </w:pPr>
      <w:r>
        <w:t>You identify potential tax or compliance risks tied to aging or incapacity.</w:t>
      </w:r>
    </w:p>
    <w:p w14:paraId="614E193B" w14:textId="77777777" w:rsidR="000F0D19" w:rsidRDefault="000F0D19" w:rsidP="00541775">
      <w:pPr>
        <w:spacing w:after="0" w:line="240" w:lineRule="auto"/>
        <w:ind w:left="720"/>
        <w:jc w:val="both"/>
      </w:pPr>
    </w:p>
    <w:p w14:paraId="0C2AD8A2" w14:textId="77777777" w:rsidR="000F0D19" w:rsidRDefault="000F0D19" w:rsidP="00541775">
      <w:pPr>
        <w:spacing w:after="0" w:line="240" w:lineRule="auto"/>
        <w:ind w:left="720"/>
        <w:jc w:val="both"/>
      </w:pPr>
      <w:r>
        <w:t>When making a referral:</w:t>
      </w:r>
    </w:p>
    <w:p w14:paraId="62C57D6A" w14:textId="78B35DF2" w:rsidR="000F0D19" w:rsidRDefault="000F0D19" w:rsidP="00541775">
      <w:pPr>
        <w:pStyle w:val="ListParagraph"/>
        <w:numPr>
          <w:ilvl w:val="0"/>
          <w:numId w:val="12"/>
        </w:numPr>
        <w:spacing w:after="0" w:line="240" w:lineRule="auto"/>
        <w:ind w:left="1080"/>
        <w:jc w:val="both"/>
      </w:pPr>
      <w:r>
        <w:t>Identify risk factors.</w:t>
      </w:r>
    </w:p>
    <w:p w14:paraId="4D693F0C" w14:textId="5C1CB0F6" w:rsidR="000F0D19" w:rsidRDefault="000F0D19" w:rsidP="00541775">
      <w:pPr>
        <w:pStyle w:val="ListParagraph"/>
        <w:numPr>
          <w:ilvl w:val="0"/>
          <w:numId w:val="12"/>
        </w:numPr>
        <w:spacing w:after="0" w:line="240" w:lineRule="auto"/>
        <w:ind w:left="1080"/>
        <w:jc w:val="both"/>
      </w:pPr>
      <w:r>
        <w:t>Gather relevant financial details.</w:t>
      </w:r>
    </w:p>
    <w:p w14:paraId="59A48CA5" w14:textId="23CF14FA" w:rsidR="000F0D19" w:rsidRDefault="000F0D19" w:rsidP="00541775">
      <w:pPr>
        <w:pStyle w:val="ListParagraph"/>
        <w:numPr>
          <w:ilvl w:val="0"/>
          <w:numId w:val="12"/>
        </w:numPr>
        <w:spacing w:after="0" w:line="240" w:lineRule="auto"/>
        <w:ind w:left="1080"/>
        <w:jc w:val="both"/>
      </w:pPr>
      <w:r>
        <w:t>Make a warm introduction.</w:t>
      </w:r>
    </w:p>
    <w:p w14:paraId="18B47541" w14:textId="0394AA9A" w:rsidR="000F0D19" w:rsidRDefault="000F0D19" w:rsidP="00541775">
      <w:pPr>
        <w:pStyle w:val="ListParagraph"/>
        <w:numPr>
          <w:ilvl w:val="0"/>
          <w:numId w:val="12"/>
        </w:numPr>
        <w:spacing w:after="0" w:line="240" w:lineRule="auto"/>
        <w:ind w:left="1080"/>
        <w:jc w:val="both"/>
      </w:pPr>
      <w:r>
        <w:t>Continue collaboration throughout implementation.</w:t>
      </w:r>
    </w:p>
    <w:p w14:paraId="455E7EB9" w14:textId="77777777" w:rsidR="000F0D19" w:rsidRDefault="000F0D19" w:rsidP="00541775">
      <w:pPr>
        <w:spacing w:after="0" w:line="240" w:lineRule="auto"/>
        <w:ind w:left="1080"/>
        <w:jc w:val="both"/>
      </w:pPr>
    </w:p>
    <w:p w14:paraId="5E02F3E3" w14:textId="138698BA" w:rsidR="000F0D19" w:rsidRPr="00541775" w:rsidRDefault="000F0D19" w:rsidP="00541775">
      <w:pPr>
        <w:pStyle w:val="ListParagraph"/>
        <w:numPr>
          <w:ilvl w:val="0"/>
          <w:numId w:val="11"/>
        </w:numPr>
        <w:spacing w:after="0" w:line="240" w:lineRule="auto"/>
        <w:jc w:val="both"/>
        <w:rPr>
          <w:b/>
          <w:bCs/>
          <w:sz w:val="24"/>
          <w:szCs w:val="24"/>
        </w:rPr>
      </w:pPr>
      <w:r w:rsidRPr="00541775">
        <w:rPr>
          <w:b/>
          <w:bCs/>
          <w:sz w:val="24"/>
          <w:szCs w:val="24"/>
        </w:rPr>
        <w:t>Key Takeaways</w:t>
      </w:r>
    </w:p>
    <w:p w14:paraId="32532AED" w14:textId="03BABF03" w:rsidR="000F0D19" w:rsidRDefault="000F0D19" w:rsidP="00541775">
      <w:pPr>
        <w:pStyle w:val="ListParagraph"/>
        <w:numPr>
          <w:ilvl w:val="0"/>
          <w:numId w:val="2"/>
        </w:numPr>
        <w:spacing w:after="0" w:line="240" w:lineRule="auto"/>
        <w:ind w:left="1080"/>
        <w:jc w:val="both"/>
      </w:pPr>
      <w:r>
        <w:t>CPAs are critical in early identification of at-risk clients.</w:t>
      </w:r>
    </w:p>
    <w:p w14:paraId="3BA2894F" w14:textId="64FE8B55" w:rsidR="000F0D19" w:rsidRDefault="000F0D19" w:rsidP="00541775">
      <w:pPr>
        <w:pStyle w:val="ListParagraph"/>
        <w:numPr>
          <w:ilvl w:val="0"/>
          <w:numId w:val="2"/>
        </w:numPr>
        <w:spacing w:after="0" w:line="240" w:lineRule="auto"/>
        <w:ind w:left="1080"/>
        <w:jc w:val="both"/>
      </w:pPr>
      <w:r>
        <w:t>Pre-planning offers control and tax efficiency.</w:t>
      </w:r>
    </w:p>
    <w:p w14:paraId="657A72EA" w14:textId="638435D9" w:rsidR="000F0D19" w:rsidRDefault="000F0D19" w:rsidP="00541775">
      <w:pPr>
        <w:pStyle w:val="ListParagraph"/>
        <w:numPr>
          <w:ilvl w:val="0"/>
          <w:numId w:val="2"/>
        </w:numPr>
        <w:spacing w:after="0" w:line="240" w:lineRule="auto"/>
        <w:ind w:left="1080"/>
        <w:jc w:val="both"/>
      </w:pPr>
      <w:r>
        <w:t>Crisis planning can still preserve assets.</w:t>
      </w:r>
    </w:p>
    <w:p w14:paraId="25976555" w14:textId="0F7B7564" w:rsidR="000F0D19" w:rsidRDefault="000F0D19" w:rsidP="00541775">
      <w:pPr>
        <w:pStyle w:val="ListParagraph"/>
        <w:numPr>
          <w:ilvl w:val="0"/>
          <w:numId w:val="2"/>
        </w:numPr>
        <w:spacing w:after="0" w:line="240" w:lineRule="auto"/>
        <w:ind w:left="1080"/>
        <w:jc w:val="both"/>
      </w:pPr>
      <w:r>
        <w:t>Collaboration between CPAs and elder law attorneys protects clients and their families.</w:t>
      </w:r>
    </w:p>
    <w:p w14:paraId="3C173E0E" w14:textId="0AFE1196" w:rsidR="000F0D19" w:rsidRDefault="000F0D19" w:rsidP="00541775">
      <w:pPr>
        <w:pStyle w:val="ListParagraph"/>
        <w:numPr>
          <w:ilvl w:val="0"/>
          <w:numId w:val="2"/>
        </w:numPr>
        <w:spacing w:after="0" w:line="240" w:lineRule="auto"/>
        <w:ind w:left="1080"/>
        <w:jc w:val="both"/>
      </w:pPr>
      <w:r>
        <w:t>Proactive planning = peace of mind for everyone involved.</w:t>
      </w:r>
    </w:p>
    <w:p w14:paraId="4E790D93" w14:textId="77777777" w:rsidR="000F0D19" w:rsidRDefault="000F0D19" w:rsidP="000F0D19">
      <w:pPr>
        <w:spacing w:after="0" w:line="240" w:lineRule="auto"/>
        <w:jc w:val="both"/>
      </w:pPr>
    </w:p>
    <w:p w14:paraId="62B46032" w14:textId="2D2A6532" w:rsidR="000F0D19" w:rsidRPr="000F0D19" w:rsidRDefault="000F0D19" w:rsidP="000F0D19">
      <w:pPr>
        <w:spacing w:after="0" w:line="240" w:lineRule="auto"/>
        <w:jc w:val="both"/>
        <w:rPr>
          <w:b/>
          <w:bCs/>
          <w:sz w:val="24"/>
          <w:szCs w:val="24"/>
        </w:rPr>
      </w:pPr>
      <w:r w:rsidRPr="000F0D19">
        <w:rPr>
          <w:b/>
          <w:bCs/>
          <w:sz w:val="24"/>
          <w:szCs w:val="24"/>
        </w:rPr>
        <w:t>Contact Information</w:t>
      </w:r>
    </w:p>
    <w:p w14:paraId="3CDB5873" w14:textId="77777777" w:rsidR="000F0D19" w:rsidRDefault="000F0D19" w:rsidP="000F0D19">
      <w:pPr>
        <w:spacing w:after="0" w:line="240" w:lineRule="auto"/>
        <w:jc w:val="both"/>
      </w:pPr>
      <w:r>
        <w:t>Angela N. Manz, Esq.</w:t>
      </w:r>
    </w:p>
    <w:p w14:paraId="45DCF809" w14:textId="77777777" w:rsidR="000F0D19" w:rsidRDefault="000F0D19" w:rsidP="000F0D19">
      <w:pPr>
        <w:spacing w:after="0" w:line="240" w:lineRule="auto"/>
        <w:jc w:val="both"/>
      </w:pPr>
      <w:r>
        <w:t>Law Office of Angela N. Manz</w:t>
      </w:r>
    </w:p>
    <w:p w14:paraId="49245D51" w14:textId="77777777" w:rsidR="000F0D19" w:rsidRDefault="000F0D19" w:rsidP="000F0D19">
      <w:pPr>
        <w:spacing w:after="0" w:line="240" w:lineRule="auto"/>
        <w:jc w:val="both"/>
      </w:pPr>
      <w:r>
        <w:t>Virginia Beach, VA</w:t>
      </w:r>
    </w:p>
    <w:p w14:paraId="131CC36C" w14:textId="77777777" w:rsidR="000F0D19" w:rsidRDefault="000F0D19" w:rsidP="000F0D19">
      <w:pPr>
        <w:spacing w:after="0" w:line="240" w:lineRule="auto"/>
        <w:jc w:val="both"/>
      </w:pPr>
      <w:r>
        <w:t>angela@manzlawfirm.com | www.manzlawfirm.com</w:t>
      </w:r>
    </w:p>
    <w:p w14:paraId="5181B54A" w14:textId="77777777" w:rsidR="000F0D19" w:rsidRDefault="000F0D19" w:rsidP="000F0D19">
      <w:pPr>
        <w:spacing w:after="0" w:line="240" w:lineRule="auto"/>
        <w:jc w:val="both"/>
      </w:pPr>
    </w:p>
    <w:p w14:paraId="5050921F" w14:textId="7814B46B" w:rsidR="000E6DD2" w:rsidRDefault="000F0D19" w:rsidP="000F0D19">
      <w:pPr>
        <w:spacing w:after="0" w:line="240" w:lineRule="auto"/>
        <w:jc w:val="both"/>
      </w:pPr>
      <w:r>
        <w:t>Let’s work together to protect your clients’ legacy and peace of mind.</w:t>
      </w:r>
    </w:p>
    <w:sectPr w:rsidR="000E6DD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Garamond">
    <w:panose1 w:val="02020404030301010803"/>
    <w:charset w:val="00"/>
    <w:family w:val="roman"/>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164101"/>
    <w:multiLevelType w:val="hybridMultilevel"/>
    <w:tmpl w:val="FCBEB470"/>
    <w:lvl w:ilvl="0" w:tplc="E03AC99E">
      <w:numFmt w:val="bullet"/>
      <w:lvlText w:val="•"/>
      <w:lvlJc w:val="left"/>
      <w:pPr>
        <w:ind w:left="720" w:hanging="360"/>
      </w:pPr>
      <w:rPr>
        <w:rFonts w:ascii="Garamond" w:eastAsiaTheme="minorHAnsi" w:hAnsi="Garamond"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6076D3A"/>
    <w:multiLevelType w:val="hybridMultilevel"/>
    <w:tmpl w:val="FB360DF8"/>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0C960AD0"/>
    <w:multiLevelType w:val="hybridMultilevel"/>
    <w:tmpl w:val="706C6280"/>
    <w:lvl w:ilvl="0" w:tplc="E03AC99E">
      <w:numFmt w:val="bullet"/>
      <w:lvlText w:val="•"/>
      <w:lvlJc w:val="left"/>
      <w:pPr>
        <w:ind w:left="720" w:hanging="360"/>
      </w:pPr>
      <w:rPr>
        <w:rFonts w:ascii="Garamond" w:eastAsiaTheme="minorHAnsi" w:hAnsi="Garamond" w:cstheme="minorBid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F8A5006"/>
    <w:multiLevelType w:val="hybridMultilevel"/>
    <w:tmpl w:val="5A12CD02"/>
    <w:lvl w:ilvl="0" w:tplc="E03AC99E">
      <w:numFmt w:val="bullet"/>
      <w:lvlText w:val="•"/>
      <w:lvlJc w:val="left"/>
      <w:pPr>
        <w:ind w:left="720" w:hanging="360"/>
      </w:pPr>
      <w:rPr>
        <w:rFonts w:ascii="Garamond" w:eastAsiaTheme="minorHAnsi" w:hAnsi="Garamond"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798648D"/>
    <w:multiLevelType w:val="hybridMultilevel"/>
    <w:tmpl w:val="93BC165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7407CA3"/>
    <w:multiLevelType w:val="hybridMultilevel"/>
    <w:tmpl w:val="7EEEFBB2"/>
    <w:lvl w:ilvl="0" w:tplc="E03AC99E">
      <w:numFmt w:val="bullet"/>
      <w:lvlText w:val="•"/>
      <w:lvlJc w:val="left"/>
      <w:pPr>
        <w:ind w:left="720" w:hanging="360"/>
      </w:pPr>
      <w:rPr>
        <w:rFonts w:ascii="Garamond" w:eastAsiaTheme="minorHAnsi" w:hAnsi="Garamond"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7E540C7"/>
    <w:multiLevelType w:val="hybridMultilevel"/>
    <w:tmpl w:val="AEEC0048"/>
    <w:lvl w:ilvl="0" w:tplc="E03AC99E">
      <w:numFmt w:val="bullet"/>
      <w:lvlText w:val="•"/>
      <w:lvlJc w:val="left"/>
      <w:pPr>
        <w:ind w:left="720" w:hanging="360"/>
      </w:pPr>
      <w:rPr>
        <w:rFonts w:ascii="Garamond" w:eastAsiaTheme="minorHAnsi" w:hAnsi="Garamond"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AE808AE"/>
    <w:multiLevelType w:val="hybridMultilevel"/>
    <w:tmpl w:val="C09828F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4CEA6387"/>
    <w:multiLevelType w:val="hybridMultilevel"/>
    <w:tmpl w:val="F00ED4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97D513F"/>
    <w:multiLevelType w:val="hybridMultilevel"/>
    <w:tmpl w:val="63F64D1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6B0A3571"/>
    <w:multiLevelType w:val="hybridMultilevel"/>
    <w:tmpl w:val="87BE16F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78565892"/>
    <w:multiLevelType w:val="hybridMultilevel"/>
    <w:tmpl w:val="3DC04956"/>
    <w:lvl w:ilvl="0" w:tplc="E03AC99E">
      <w:numFmt w:val="bullet"/>
      <w:lvlText w:val="•"/>
      <w:lvlJc w:val="left"/>
      <w:pPr>
        <w:ind w:left="720" w:hanging="360"/>
      </w:pPr>
      <w:rPr>
        <w:rFonts w:ascii="Garamond" w:eastAsiaTheme="minorHAnsi" w:hAnsi="Garamond"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72309799">
    <w:abstractNumId w:val="8"/>
  </w:num>
  <w:num w:numId="2" w16cid:durableId="1732460604">
    <w:abstractNumId w:val="2"/>
  </w:num>
  <w:num w:numId="3" w16cid:durableId="1481849812">
    <w:abstractNumId w:val="11"/>
  </w:num>
  <w:num w:numId="4" w16cid:durableId="1442721854">
    <w:abstractNumId w:val="0"/>
  </w:num>
  <w:num w:numId="5" w16cid:durableId="1766025913">
    <w:abstractNumId w:val="3"/>
  </w:num>
  <w:num w:numId="6" w16cid:durableId="25181959">
    <w:abstractNumId w:val="6"/>
  </w:num>
  <w:num w:numId="7" w16cid:durableId="1577856471">
    <w:abstractNumId w:val="9"/>
  </w:num>
  <w:num w:numId="8" w16cid:durableId="1533567517">
    <w:abstractNumId w:val="10"/>
  </w:num>
  <w:num w:numId="9" w16cid:durableId="1926761052">
    <w:abstractNumId w:val="5"/>
  </w:num>
  <w:num w:numId="10" w16cid:durableId="1549337133">
    <w:abstractNumId w:val="4"/>
  </w:num>
  <w:num w:numId="11" w16cid:durableId="627277167">
    <w:abstractNumId w:val="7"/>
  </w:num>
  <w:num w:numId="12" w16cid:durableId="10658156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F0D19"/>
    <w:rsid w:val="0002621A"/>
    <w:rsid w:val="000E6DD2"/>
    <w:rsid w:val="000F0D19"/>
    <w:rsid w:val="00541775"/>
    <w:rsid w:val="00D35A24"/>
    <w:rsid w:val="00D84B69"/>
    <w:rsid w:val="00FC63B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48CC89"/>
  <w15:chartTrackingRefBased/>
  <w15:docId w15:val="{B96BAAA1-1654-4B43-94AC-784FD1CD2F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Garamond" w:eastAsiaTheme="minorHAnsi" w:hAnsi="Garamond"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F0D1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F0D1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F0D19"/>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F0D19"/>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Heading5">
    <w:name w:val="heading 5"/>
    <w:basedOn w:val="Normal"/>
    <w:next w:val="Normal"/>
    <w:link w:val="Heading5Char"/>
    <w:uiPriority w:val="9"/>
    <w:semiHidden/>
    <w:unhideWhenUsed/>
    <w:qFormat/>
    <w:rsid w:val="000F0D19"/>
    <w:pPr>
      <w:keepNext/>
      <w:keepLines/>
      <w:spacing w:before="80" w:after="40"/>
      <w:outlineLvl w:val="4"/>
    </w:pPr>
    <w:rPr>
      <w:rFonts w:asciiTheme="minorHAnsi" w:eastAsiaTheme="majorEastAsia" w:hAnsiTheme="minorHAnsi" w:cstheme="majorBidi"/>
      <w:color w:val="0F4761" w:themeColor="accent1" w:themeShade="BF"/>
    </w:rPr>
  </w:style>
  <w:style w:type="paragraph" w:styleId="Heading6">
    <w:name w:val="heading 6"/>
    <w:basedOn w:val="Normal"/>
    <w:next w:val="Normal"/>
    <w:link w:val="Heading6Char"/>
    <w:uiPriority w:val="9"/>
    <w:semiHidden/>
    <w:unhideWhenUsed/>
    <w:qFormat/>
    <w:rsid w:val="000F0D19"/>
    <w:pPr>
      <w:keepNext/>
      <w:keepLines/>
      <w:spacing w:before="40" w:after="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0F0D19"/>
    <w:pPr>
      <w:keepNext/>
      <w:keepLines/>
      <w:spacing w:before="40" w:after="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0F0D19"/>
    <w:pPr>
      <w:keepNext/>
      <w:keepLines/>
      <w:spacing w:after="0"/>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0F0D19"/>
    <w:pPr>
      <w:keepNext/>
      <w:keepLines/>
      <w:spacing w:after="0"/>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F0D1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F0D1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F0D19"/>
    <w:rPr>
      <w:rFonts w:asciiTheme="minorHAnsi" w:eastAsiaTheme="majorEastAsia" w:hAnsiTheme="minorHAnsi"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F0D19"/>
    <w:rPr>
      <w:rFonts w:asciiTheme="minorHAnsi" w:eastAsiaTheme="majorEastAsia" w:hAnsiTheme="minorHAnsi" w:cstheme="majorBidi"/>
      <w:i/>
      <w:iCs/>
      <w:color w:val="0F4761" w:themeColor="accent1" w:themeShade="BF"/>
    </w:rPr>
  </w:style>
  <w:style w:type="character" w:customStyle="1" w:styleId="Heading5Char">
    <w:name w:val="Heading 5 Char"/>
    <w:basedOn w:val="DefaultParagraphFont"/>
    <w:link w:val="Heading5"/>
    <w:uiPriority w:val="9"/>
    <w:semiHidden/>
    <w:rsid w:val="000F0D19"/>
    <w:rPr>
      <w:rFonts w:asciiTheme="minorHAnsi" w:eastAsiaTheme="majorEastAsia" w:hAnsiTheme="minorHAnsi" w:cstheme="majorBidi"/>
      <w:color w:val="0F4761" w:themeColor="accent1" w:themeShade="BF"/>
    </w:rPr>
  </w:style>
  <w:style w:type="character" w:customStyle="1" w:styleId="Heading6Char">
    <w:name w:val="Heading 6 Char"/>
    <w:basedOn w:val="DefaultParagraphFont"/>
    <w:link w:val="Heading6"/>
    <w:uiPriority w:val="9"/>
    <w:semiHidden/>
    <w:rsid w:val="000F0D19"/>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0F0D19"/>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0F0D19"/>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0F0D19"/>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0F0D1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F0D1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F0D19"/>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F0D19"/>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0F0D19"/>
    <w:pPr>
      <w:spacing w:before="160"/>
      <w:jc w:val="center"/>
    </w:pPr>
    <w:rPr>
      <w:i/>
      <w:iCs/>
      <w:color w:val="404040" w:themeColor="text1" w:themeTint="BF"/>
    </w:rPr>
  </w:style>
  <w:style w:type="character" w:customStyle="1" w:styleId="QuoteChar">
    <w:name w:val="Quote Char"/>
    <w:basedOn w:val="DefaultParagraphFont"/>
    <w:link w:val="Quote"/>
    <w:uiPriority w:val="29"/>
    <w:rsid w:val="000F0D19"/>
    <w:rPr>
      <w:i/>
      <w:iCs/>
      <w:color w:val="404040" w:themeColor="text1" w:themeTint="BF"/>
    </w:rPr>
  </w:style>
  <w:style w:type="paragraph" w:styleId="ListParagraph">
    <w:name w:val="List Paragraph"/>
    <w:basedOn w:val="Normal"/>
    <w:uiPriority w:val="34"/>
    <w:qFormat/>
    <w:rsid w:val="000F0D19"/>
    <w:pPr>
      <w:ind w:left="720"/>
      <w:contextualSpacing/>
    </w:pPr>
  </w:style>
  <w:style w:type="character" w:styleId="IntenseEmphasis">
    <w:name w:val="Intense Emphasis"/>
    <w:basedOn w:val="DefaultParagraphFont"/>
    <w:uiPriority w:val="21"/>
    <w:qFormat/>
    <w:rsid w:val="000F0D19"/>
    <w:rPr>
      <w:i/>
      <w:iCs/>
      <w:color w:val="0F4761" w:themeColor="accent1" w:themeShade="BF"/>
    </w:rPr>
  </w:style>
  <w:style w:type="paragraph" w:styleId="IntenseQuote">
    <w:name w:val="Intense Quote"/>
    <w:basedOn w:val="Normal"/>
    <w:next w:val="Normal"/>
    <w:link w:val="IntenseQuoteChar"/>
    <w:uiPriority w:val="30"/>
    <w:qFormat/>
    <w:rsid w:val="000F0D1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F0D19"/>
    <w:rPr>
      <w:i/>
      <w:iCs/>
      <w:color w:val="0F4761" w:themeColor="accent1" w:themeShade="BF"/>
    </w:rPr>
  </w:style>
  <w:style w:type="character" w:styleId="IntenseReference">
    <w:name w:val="Intense Reference"/>
    <w:basedOn w:val="DefaultParagraphFont"/>
    <w:uiPriority w:val="32"/>
    <w:qFormat/>
    <w:rsid w:val="000F0D19"/>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TotalTime>
  <Pages>1</Pages>
  <Words>561</Words>
  <Characters>3200</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Robert Seitzinger</dc:creator>
  <cp:keywords/>
  <dc:description/>
  <cp:lastModifiedBy>Robert Seitzinger</cp:lastModifiedBy>
  <cp:revision>1</cp:revision>
  <dcterms:created xsi:type="dcterms:W3CDTF">2025-10-17T15:24:00Z</dcterms:created>
  <dcterms:modified xsi:type="dcterms:W3CDTF">2025-10-17T15:38:00Z</dcterms:modified>
</cp:coreProperties>
</file>